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3002C05" w:rsidR="00A261EF" w:rsidRDefault="00A261EF">
      <w:pPr>
        <w:rPr>
          <w:rFonts w:ascii="Times New Roman" w:eastAsia="Times New Roman" w:hAnsi="Times New Roman" w:cs="Times New Roman"/>
          <w:color w:val="FF0000"/>
          <w:sz w:val="24"/>
          <w:szCs w:val="24"/>
        </w:rPr>
      </w:pPr>
    </w:p>
    <w:p w14:paraId="00000002" w14:textId="77777777" w:rsidR="00A261EF" w:rsidRDefault="00A261EF">
      <w:pPr>
        <w:jc w:val="right"/>
        <w:rPr>
          <w:rFonts w:ascii="Times New Roman" w:eastAsia="Times New Roman" w:hAnsi="Times New Roman" w:cs="Times New Roman"/>
          <w:sz w:val="24"/>
          <w:szCs w:val="24"/>
        </w:rPr>
      </w:pPr>
    </w:p>
    <w:p w14:paraId="00000003" w14:textId="77777777" w:rsidR="00A261EF"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Lobos, 5 de octubre de 2026.</w:t>
      </w:r>
    </w:p>
    <w:p w14:paraId="0000000B" w14:textId="77777777" w:rsidR="00A261EF" w:rsidRDefault="00A261EF">
      <w:pPr>
        <w:jc w:val="both"/>
        <w:rPr>
          <w:rFonts w:ascii="Times New Roman" w:eastAsia="Times New Roman" w:hAnsi="Times New Roman" w:cs="Times New Roman"/>
          <w:sz w:val="24"/>
          <w:szCs w:val="24"/>
        </w:rPr>
      </w:pPr>
    </w:p>
    <w:p w14:paraId="0000000C" w14:textId="3BB5122F"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VISTO:</w:t>
      </w:r>
      <w:r>
        <w:rPr>
          <w:rFonts w:ascii="Times New Roman" w:eastAsia="Times New Roman" w:hAnsi="Times New Roman" w:cs="Times New Roman"/>
          <w:sz w:val="24"/>
          <w:szCs w:val="24"/>
        </w:rPr>
        <w:t xml:space="preserve"> El Expediente </w:t>
      </w:r>
      <w:r w:rsidR="001E466C">
        <w:rPr>
          <w:rFonts w:ascii="Times New Roman" w:eastAsia="Times New Roman" w:hAnsi="Times New Roman" w:cs="Times New Roman"/>
          <w:sz w:val="24"/>
          <w:szCs w:val="24"/>
        </w:rPr>
        <w:t xml:space="preserve">de este HCD </w:t>
      </w:r>
      <w:r>
        <w:rPr>
          <w:rFonts w:ascii="Times New Roman" w:eastAsia="Times New Roman" w:hAnsi="Times New Roman" w:cs="Times New Roman"/>
          <w:sz w:val="24"/>
          <w:szCs w:val="24"/>
        </w:rPr>
        <w:t>N.º 4067-</w:t>
      </w:r>
      <w:r w:rsidR="001E466C">
        <w:rPr>
          <w:rFonts w:ascii="Times New Roman" w:eastAsia="Times New Roman" w:hAnsi="Times New Roman" w:cs="Times New Roman"/>
          <w:sz w:val="24"/>
          <w:szCs w:val="24"/>
        </w:rPr>
        <w:t>116</w:t>
      </w:r>
      <w:r>
        <w:rPr>
          <w:rFonts w:ascii="Times New Roman" w:eastAsia="Times New Roman" w:hAnsi="Times New Roman" w:cs="Times New Roman"/>
          <w:sz w:val="24"/>
          <w:szCs w:val="24"/>
        </w:rPr>
        <w:t>/2026, iniciado por el Departamento Ejecutivo Municipal, caratulado “Proyecto de Ordenanza Zonificación</w:t>
      </w:r>
      <w:r w:rsidR="001E466C">
        <w:rPr>
          <w:rFonts w:ascii="Times New Roman" w:eastAsia="Times New Roman" w:hAnsi="Times New Roman" w:cs="Times New Roman"/>
          <w:sz w:val="24"/>
          <w:szCs w:val="24"/>
        </w:rPr>
        <w:t xml:space="preserve">”; y su Expediente base del Departamento Ejecutivo Municipal </w:t>
      </w:r>
      <w:proofErr w:type="spellStart"/>
      <w:r w:rsidR="001E466C">
        <w:rPr>
          <w:rFonts w:ascii="Times New Roman" w:eastAsia="Times New Roman" w:hAnsi="Times New Roman" w:cs="Times New Roman"/>
          <w:sz w:val="24"/>
          <w:szCs w:val="24"/>
        </w:rPr>
        <w:t>Nº</w:t>
      </w:r>
      <w:proofErr w:type="spellEnd"/>
      <w:r w:rsidR="001E466C">
        <w:rPr>
          <w:rFonts w:ascii="Times New Roman" w:eastAsia="Times New Roman" w:hAnsi="Times New Roman" w:cs="Times New Roman"/>
          <w:sz w:val="24"/>
          <w:szCs w:val="24"/>
        </w:rPr>
        <w:t xml:space="preserve"> 4067-29834/2026</w:t>
      </w:r>
      <w:r>
        <w:rPr>
          <w:rFonts w:ascii="Times New Roman" w:eastAsia="Times New Roman" w:hAnsi="Times New Roman" w:cs="Times New Roman"/>
          <w:sz w:val="24"/>
          <w:szCs w:val="24"/>
        </w:rPr>
        <w:t>;</w:t>
      </w:r>
      <w:r w:rsidR="001E466C">
        <w:rPr>
          <w:rFonts w:ascii="Times New Roman" w:eastAsia="Times New Roman" w:hAnsi="Times New Roman" w:cs="Times New Roman"/>
          <w:sz w:val="24"/>
          <w:szCs w:val="24"/>
        </w:rPr>
        <w:t xml:space="preserve"> y</w:t>
      </w:r>
      <w:r>
        <w:rPr>
          <w:rFonts w:ascii="Times New Roman" w:eastAsia="Times New Roman" w:hAnsi="Times New Roman" w:cs="Times New Roman"/>
          <w:sz w:val="24"/>
          <w:szCs w:val="24"/>
        </w:rPr>
        <w:t xml:space="preserve"> </w:t>
      </w:r>
    </w:p>
    <w:p w14:paraId="0000000D" w14:textId="77777777" w:rsidR="00A261EF" w:rsidRDefault="00A261EF">
      <w:pPr>
        <w:jc w:val="both"/>
        <w:rPr>
          <w:rFonts w:ascii="Times New Roman" w:eastAsia="Times New Roman" w:hAnsi="Times New Roman" w:cs="Times New Roman"/>
          <w:sz w:val="24"/>
          <w:szCs w:val="24"/>
        </w:rPr>
      </w:pPr>
    </w:p>
    <w:p w14:paraId="0000000E" w14:textId="77777777" w:rsidR="00A261EF" w:rsidRDefault="00000000">
      <w:pPr>
        <w:jc w:val="both"/>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CONSIDERANDO:</w:t>
      </w:r>
    </w:p>
    <w:p w14:paraId="0000000F" w14:textId="77777777" w:rsidR="00A261EF" w:rsidRDefault="00A261EF">
      <w:pPr>
        <w:jc w:val="both"/>
        <w:rPr>
          <w:rFonts w:ascii="Times New Roman" w:eastAsia="Times New Roman" w:hAnsi="Times New Roman" w:cs="Times New Roman"/>
          <w:sz w:val="24"/>
          <w:szCs w:val="24"/>
        </w:rPr>
      </w:pPr>
    </w:p>
    <w:p w14:paraId="00000010"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el ordenamiento territorial constituye una herramienta fundamental para planificar el crecimiento urbano, establecer los usos del suelo, proteger los recursos naturales y promover un desarrollo equilibrado, sostenible y compatible con las características ambientales, sociales y productivas del Partido de Lobos;</w:t>
      </w:r>
    </w:p>
    <w:p w14:paraId="00000011" w14:textId="77777777" w:rsidR="00A261EF" w:rsidRDefault="00A261EF">
      <w:pPr>
        <w:jc w:val="both"/>
        <w:rPr>
          <w:rFonts w:ascii="Times New Roman" w:eastAsia="Times New Roman" w:hAnsi="Times New Roman" w:cs="Times New Roman"/>
          <w:sz w:val="24"/>
          <w:szCs w:val="24"/>
        </w:rPr>
      </w:pPr>
    </w:p>
    <w:p w14:paraId="00000012"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el Proyecto de Ordenanza Zonificación involucra aspectos vinculados con la vivienda, las actividades productivas y comerciales, la infraestructura, los servicios públicos, el ambiente, la movilidad y la organización territorial, por lo que requiere un análisis integral de sus alcances e implicancias;</w:t>
      </w:r>
    </w:p>
    <w:p w14:paraId="00000013" w14:textId="77777777" w:rsidR="00A261EF" w:rsidRDefault="00A261EF">
      <w:pPr>
        <w:jc w:val="both"/>
        <w:rPr>
          <w:rFonts w:ascii="Times New Roman" w:eastAsia="Times New Roman" w:hAnsi="Times New Roman" w:cs="Times New Roman"/>
          <w:sz w:val="24"/>
          <w:szCs w:val="24"/>
        </w:rPr>
      </w:pPr>
    </w:p>
    <w:p w14:paraId="00000014"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la actualización de la normativa de zonificación debe sustentarse en antecedentes técnicos, estudios territoriales, ambientales, hídricos, sanitarios, de infraestructura y de factibilidad que permitan evaluar objetivamente las transformaciones propuestas;</w:t>
      </w:r>
    </w:p>
    <w:p w14:paraId="00000015" w14:textId="77777777" w:rsidR="00A261EF" w:rsidRDefault="00A261EF">
      <w:pPr>
        <w:jc w:val="both"/>
        <w:rPr>
          <w:rFonts w:ascii="Times New Roman" w:eastAsia="Times New Roman" w:hAnsi="Times New Roman" w:cs="Times New Roman"/>
          <w:sz w:val="24"/>
          <w:szCs w:val="24"/>
        </w:rPr>
      </w:pPr>
    </w:p>
    <w:p w14:paraId="00000016"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resulta necesario contar con información completa, precisa y verificable respecto de los estudios, relevamientos, diagnósticos y evaluaciones realizados para fundamentar el proyecto, así como conocer sus principales conclusiones y la forma en que fueron consideradas en la propuesta normativa;</w:t>
      </w:r>
    </w:p>
    <w:p w14:paraId="00000017" w14:textId="77777777" w:rsidR="00A261EF" w:rsidRDefault="00A261EF">
      <w:pPr>
        <w:jc w:val="both"/>
        <w:rPr>
          <w:rFonts w:ascii="Times New Roman" w:eastAsia="Times New Roman" w:hAnsi="Times New Roman" w:cs="Times New Roman"/>
          <w:sz w:val="24"/>
          <w:szCs w:val="24"/>
        </w:rPr>
      </w:pPr>
    </w:p>
    <w:p w14:paraId="00000018"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corresponde a este Honorable Concejo Deliberante conocer los antecedentes que sustentan las iniciativas de ordenamiento territorial y ejercer sus atribuciones de control institucional, resultando el acceso a la información pública una herramienta esencial para el adecuado cumplimiento de dichas funciones;</w:t>
      </w:r>
    </w:p>
    <w:p w14:paraId="00000019" w14:textId="77777777" w:rsidR="00A261EF" w:rsidRDefault="00A261EF">
      <w:pPr>
        <w:jc w:val="both"/>
        <w:rPr>
          <w:rFonts w:ascii="Times New Roman" w:eastAsia="Times New Roman" w:hAnsi="Times New Roman" w:cs="Times New Roman"/>
          <w:sz w:val="24"/>
          <w:szCs w:val="24"/>
        </w:rPr>
      </w:pPr>
    </w:p>
    <w:p w14:paraId="0000001A"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la información requerida permitirá evaluar no solo la propuesta normativa, sino también las condiciones materiales, ambientales, sanitarias, territoriales y presupuestarias necesarias para su eventual implementación;</w:t>
      </w:r>
    </w:p>
    <w:p w14:paraId="0000001B" w14:textId="77777777" w:rsidR="00A261EF" w:rsidRDefault="00A261EF">
      <w:pPr>
        <w:jc w:val="both"/>
        <w:rPr>
          <w:rFonts w:ascii="Times New Roman" w:eastAsia="Times New Roman" w:hAnsi="Times New Roman" w:cs="Times New Roman"/>
          <w:sz w:val="24"/>
          <w:szCs w:val="24"/>
        </w:rPr>
      </w:pPr>
    </w:p>
    <w:p w14:paraId="0000001C"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resulta particularmente necesario analizar las densidades poblacionales y los usos del suelo propuestos en relación con la capacidad efectiva de los servicios de agua potable, saneamiento cloacal, drenaje pluvial, infraestructura vial, energía y demás servicios esenciales, así como con la capacidad de soporte del territorio;</w:t>
      </w:r>
    </w:p>
    <w:p w14:paraId="0000001D" w14:textId="77777777" w:rsidR="00A261EF" w:rsidRDefault="00A261EF">
      <w:pPr>
        <w:jc w:val="both"/>
        <w:rPr>
          <w:rFonts w:ascii="Times New Roman" w:eastAsia="Times New Roman" w:hAnsi="Times New Roman" w:cs="Times New Roman"/>
          <w:sz w:val="24"/>
          <w:szCs w:val="24"/>
        </w:rPr>
      </w:pPr>
    </w:p>
    <w:p w14:paraId="0000001E"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Que resulta necesario conocer si se han realizado estudios de capacidad de carga ambiental e hídrica y de riesgo, especialmente en sectores de relevancia territorial y ambiental como Villa </w:t>
      </w:r>
      <w:proofErr w:type="spellStart"/>
      <w:r>
        <w:rPr>
          <w:rFonts w:ascii="Times New Roman" w:eastAsia="Times New Roman" w:hAnsi="Times New Roman" w:cs="Times New Roman"/>
          <w:sz w:val="24"/>
          <w:szCs w:val="24"/>
        </w:rPr>
        <w:t>Logüercio</w:t>
      </w:r>
      <w:proofErr w:type="spellEnd"/>
      <w:r>
        <w:rPr>
          <w:rFonts w:ascii="Times New Roman" w:eastAsia="Times New Roman" w:hAnsi="Times New Roman" w:cs="Times New Roman"/>
          <w:sz w:val="24"/>
          <w:szCs w:val="24"/>
        </w:rPr>
        <w:t>, el entorno de la Laguna de Lobos, la Zona de Reserva Acuífero y los Ejes Turísticos Patrimoniales;</w:t>
      </w:r>
    </w:p>
    <w:p w14:paraId="0000001F" w14:textId="77777777" w:rsidR="00A261EF" w:rsidRDefault="00A261EF">
      <w:pPr>
        <w:jc w:val="both"/>
        <w:rPr>
          <w:rFonts w:ascii="Times New Roman" w:eastAsia="Times New Roman" w:hAnsi="Times New Roman" w:cs="Times New Roman"/>
          <w:sz w:val="24"/>
          <w:szCs w:val="24"/>
        </w:rPr>
      </w:pPr>
    </w:p>
    <w:p w14:paraId="00000020"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la protección de los recursos hídricos, en particular de las aguas subterráneas, constituye un aspecto central del ordenamiento territorial, especialmente en las áreas destinadas a preservar las condiciones naturales de captación y abastecimiento de agua potable;</w:t>
      </w:r>
    </w:p>
    <w:p w14:paraId="00000021" w14:textId="77777777" w:rsidR="00A261EF" w:rsidRDefault="00A261EF">
      <w:pPr>
        <w:jc w:val="both"/>
        <w:rPr>
          <w:rFonts w:ascii="Times New Roman" w:eastAsia="Times New Roman" w:hAnsi="Times New Roman" w:cs="Times New Roman"/>
          <w:sz w:val="24"/>
          <w:szCs w:val="24"/>
        </w:rPr>
      </w:pPr>
    </w:p>
    <w:p w14:paraId="00000022"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resulta asimismo necesario conocer los criterios técnicos y normativos previstos para las actividades agrícolas que impliquen utilización de productos fitosanitarios, especialmente en sectores próximos a áreas residenciales, establecimientos educativos y sanitarios, reservas acuíferas y otros espacios ambientalmente sensibles;</w:t>
      </w:r>
    </w:p>
    <w:p w14:paraId="00000023" w14:textId="77777777" w:rsidR="00A261EF" w:rsidRDefault="00A261EF">
      <w:pPr>
        <w:jc w:val="both"/>
        <w:rPr>
          <w:rFonts w:ascii="Times New Roman" w:eastAsia="Times New Roman" w:hAnsi="Times New Roman" w:cs="Times New Roman"/>
          <w:sz w:val="24"/>
          <w:szCs w:val="24"/>
        </w:rPr>
      </w:pPr>
    </w:p>
    <w:p w14:paraId="00000024"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 la localización y regulación de establecimientos de producción intensiva, tales como </w:t>
      </w:r>
      <w:proofErr w:type="spellStart"/>
      <w:r>
        <w:rPr>
          <w:rFonts w:ascii="Times New Roman" w:eastAsia="Times New Roman" w:hAnsi="Times New Roman" w:cs="Times New Roman"/>
          <w:sz w:val="24"/>
          <w:szCs w:val="24"/>
        </w:rPr>
        <w:t>feedlots</w:t>
      </w:r>
      <w:proofErr w:type="spellEnd"/>
      <w:r>
        <w:rPr>
          <w:rFonts w:ascii="Times New Roman" w:eastAsia="Times New Roman" w:hAnsi="Times New Roman" w:cs="Times New Roman"/>
          <w:sz w:val="24"/>
          <w:szCs w:val="24"/>
        </w:rPr>
        <w:t xml:space="preserve"> y criaderos de aves y cerdos, requiere considerar criterios verificables de ubicación, distancias de resguardo, manejo de efluentes, olores, bioseguridad, capacidad de carga y compatibilidad con los restantes usos del territorio;</w:t>
      </w:r>
    </w:p>
    <w:p w14:paraId="00000025" w14:textId="77777777" w:rsidR="00A261EF" w:rsidRDefault="00A261EF">
      <w:pPr>
        <w:jc w:val="both"/>
        <w:rPr>
          <w:rFonts w:ascii="Times New Roman" w:eastAsia="Times New Roman" w:hAnsi="Times New Roman" w:cs="Times New Roman"/>
          <w:sz w:val="24"/>
          <w:szCs w:val="24"/>
        </w:rPr>
      </w:pPr>
    </w:p>
    <w:p w14:paraId="00000026"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la Laguna de Lobos y su entorno constituyen un sistema ambiental, hídrico, paisajístico, turístico y productivo cuya planificación requiere contar con información actualizada sobre calidad del agua, escorrentías, aportes de nutrientes, tratamiento de efluentes y capacidad de carga;</w:t>
      </w:r>
    </w:p>
    <w:p w14:paraId="00000027" w14:textId="77777777" w:rsidR="00A261EF" w:rsidRDefault="00A261EF">
      <w:pPr>
        <w:jc w:val="both"/>
        <w:rPr>
          <w:rFonts w:ascii="Times New Roman" w:eastAsia="Times New Roman" w:hAnsi="Times New Roman" w:cs="Times New Roman"/>
          <w:sz w:val="24"/>
          <w:szCs w:val="24"/>
        </w:rPr>
      </w:pPr>
    </w:p>
    <w:p w14:paraId="00000028"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los principios de prevención y precautorio establecidos por la Ley General del Ambiente N.º 25.675 constituyen criterios relevantes para la evaluación de decisiones que puedan generar impactos ambientales significativos;</w:t>
      </w:r>
    </w:p>
    <w:p w14:paraId="00000029" w14:textId="77777777" w:rsidR="00A261EF" w:rsidRDefault="00A261EF">
      <w:pPr>
        <w:jc w:val="both"/>
        <w:rPr>
          <w:rFonts w:ascii="Times New Roman" w:eastAsia="Times New Roman" w:hAnsi="Times New Roman" w:cs="Times New Roman"/>
          <w:sz w:val="24"/>
          <w:szCs w:val="24"/>
        </w:rPr>
      </w:pPr>
    </w:p>
    <w:p w14:paraId="0000002A"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resulta necesario conocer si los estudios realizados contemplan mecanismos de monitoreo, indicadores, parámetros de control, responsables y periodicidad de evaluación, así como la forma en que sus resultados serán incorporados a la planificación territorial y a la regulación de los usos y densidades;</w:t>
      </w:r>
    </w:p>
    <w:p w14:paraId="0000002B" w14:textId="77777777" w:rsidR="00A261EF" w:rsidRDefault="00A261EF">
      <w:pPr>
        <w:jc w:val="both"/>
        <w:rPr>
          <w:rFonts w:ascii="Times New Roman" w:eastAsia="Times New Roman" w:hAnsi="Times New Roman" w:cs="Times New Roman"/>
          <w:sz w:val="24"/>
          <w:szCs w:val="24"/>
        </w:rPr>
      </w:pPr>
    </w:p>
    <w:p w14:paraId="0000002C"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la planificación territorial debe contemplar asimismo las condiciones económicas y financieras necesarias para sostener las transformaciones propuestas, incluyendo las inversiones requeridas en infraestructura, servicios, equipamiento y mantenimiento, y sus eventuales fuentes de financiamiento;</w:t>
      </w:r>
    </w:p>
    <w:p w14:paraId="0000002D"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por la complejidad y alcance territorial, ambiental, social y productivo de un nuevo Código de Zonificación, resulta fundamental garantizar instancias adecuadas de participación ciudadana e institucional;</w:t>
      </w:r>
    </w:p>
    <w:p w14:paraId="0000002E" w14:textId="77777777" w:rsidR="00A261EF" w:rsidRDefault="00A261EF">
      <w:pPr>
        <w:jc w:val="both"/>
        <w:rPr>
          <w:rFonts w:ascii="Times New Roman" w:eastAsia="Times New Roman" w:hAnsi="Times New Roman" w:cs="Times New Roman"/>
          <w:sz w:val="24"/>
          <w:szCs w:val="24"/>
        </w:rPr>
      </w:pPr>
    </w:p>
    <w:p w14:paraId="0000002F"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 la intervención de instituciones científicas, educativas, profesionales, productivas y comunitarias, mediante talleres, mesas de trabajo, consultas y encuentros sectoriales, permite </w:t>
      </w:r>
      <w:r>
        <w:rPr>
          <w:rFonts w:ascii="Times New Roman" w:eastAsia="Times New Roman" w:hAnsi="Times New Roman" w:cs="Times New Roman"/>
          <w:sz w:val="24"/>
          <w:szCs w:val="24"/>
        </w:rPr>
        <w:lastRenderedPageBreak/>
        <w:t>incorporar conocimientos territoriales, identificar problemáticas específicas, anticipar conflictos de compatibilidad de usos y contribuir a una mejor formulación de la normativa;</w:t>
      </w:r>
    </w:p>
    <w:p w14:paraId="00000030" w14:textId="77777777" w:rsidR="00A261EF" w:rsidRDefault="00A261EF">
      <w:pPr>
        <w:jc w:val="both"/>
        <w:rPr>
          <w:rFonts w:ascii="Times New Roman" w:eastAsia="Times New Roman" w:hAnsi="Times New Roman" w:cs="Times New Roman"/>
          <w:sz w:val="24"/>
          <w:szCs w:val="24"/>
        </w:rPr>
      </w:pPr>
    </w:p>
    <w:p w14:paraId="00000031"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resulta especialmente relevante que dichas instancias participativas se desarrollen durante la etapa de elaboración del proyecto y con anterioridad a su tratamiento legislativo definitivo, de modo que los aportes recibidos puedan ser efectivamente evaluados e incorporados cuando corresponda;</w:t>
      </w:r>
    </w:p>
    <w:p w14:paraId="00000032" w14:textId="77777777" w:rsidR="00A261EF" w:rsidRDefault="00A261EF">
      <w:pPr>
        <w:jc w:val="both"/>
        <w:rPr>
          <w:rFonts w:ascii="Times New Roman" w:eastAsia="Times New Roman" w:hAnsi="Times New Roman" w:cs="Times New Roman"/>
          <w:sz w:val="24"/>
          <w:szCs w:val="24"/>
        </w:rPr>
      </w:pPr>
    </w:p>
    <w:p w14:paraId="00000033"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la participación fortalece el proceso de revisión normativa y permite complementar los estudios técnicos con las experiencias y necesidades de los distintos sectores de la comunidad;</w:t>
      </w:r>
    </w:p>
    <w:p w14:paraId="00000034" w14:textId="77777777" w:rsidR="00A261EF" w:rsidRDefault="00A261EF">
      <w:pPr>
        <w:jc w:val="both"/>
        <w:rPr>
          <w:rFonts w:ascii="Times New Roman" w:eastAsia="Times New Roman" w:hAnsi="Times New Roman" w:cs="Times New Roman"/>
          <w:sz w:val="24"/>
          <w:szCs w:val="24"/>
        </w:rPr>
      </w:pPr>
    </w:p>
    <w:p w14:paraId="00000035"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en consecuencia, resulta pertinente que el Departamento Ejecutivo Municipal informe sobre los estudios y evaluaciones realizados, las instancias de participación desarrolladas y, en caso de encontrarse pendientes, las acciones previstas para completar el proceso de análisis y consulta previo al tratamiento legislativo definitivo;</w:t>
      </w:r>
    </w:p>
    <w:p w14:paraId="00000036" w14:textId="77777777" w:rsidR="00A261EF" w:rsidRDefault="00A261EF">
      <w:pPr>
        <w:jc w:val="both"/>
        <w:rPr>
          <w:rFonts w:ascii="Times New Roman" w:eastAsia="Times New Roman" w:hAnsi="Times New Roman" w:cs="Times New Roman"/>
          <w:sz w:val="24"/>
          <w:szCs w:val="24"/>
        </w:rPr>
      </w:pPr>
    </w:p>
    <w:p w14:paraId="00000037"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toda la información solicitada resulta necesaria para que este Honorable Cuerpo pueda evaluar de manera integral los fundamentos, alcances, impactos y condiciones de implementación del “Proyecto de Ordenanza de Zonificación”;</w:t>
      </w:r>
    </w:p>
    <w:p w14:paraId="00000038" w14:textId="77777777" w:rsidR="00A261EF" w:rsidRDefault="00A261EF">
      <w:pPr>
        <w:jc w:val="both"/>
        <w:rPr>
          <w:rFonts w:ascii="Times New Roman" w:eastAsia="Times New Roman" w:hAnsi="Times New Roman" w:cs="Times New Roman"/>
          <w:sz w:val="24"/>
          <w:szCs w:val="24"/>
        </w:rPr>
      </w:pPr>
    </w:p>
    <w:p w14:paraId="00000039"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todo lo expuesto, la Comisión de Obras y Servicios Públicos, Infraestructura y Medio Ambiente aconseja la sanción del siguiente:</w:t>
      </w:r>
    </w:p>
    <w:p w14:paraId="0000003A" w14:textId="77777777" w:rsidR="00A261EF" w:rsidRDefault="00A261EF">
      <w:pPr>
        <w:jc w:val="both"/>
        <w:rPr>
          <w:rFonts w:ascii="Times New Roman" w:eastAsia="Times New Roman" w:hAnsi="Times New Roman" w:cs="Times New Roman"/>
          <w:sz w:val="24"/>
          <w:szCs w:val="24"/>
        </w:rPr>
      </w:pPr>
    </w:p>
    <w:p w14:paraId="0000003B" w14:textId="77777777" w:rsidR="00A261E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PROYECTO DE COMUNICACIÓN</w:t>
      </w:r>
    </w:p>
    <w:p w14:paraId="0000003C" w14:textId="77777777" w:rsidR="00A261EF" w:rsidRDefault="00A261EF">
      <w:pPr>
        <w:jc w:val="both"/>
        <w:rPr>
          <w:rFonts w:ascii="Times New Roman" w:eastAsia="Times New Roman" w:hAnsi="Times New Roman" w:cs="Times New Roman"/>
          <w:sz w:val="24"/>
          <w:szCs w:val="24"/>
        </w:rPr>
      </w:pPr>
    </w:p>
    <w:p w14:paraId="0000003D"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ARTÍCULO 1.º: Solicítese al Departamento Ejecutivo Municipal que, por intermedio la Subsecretaría de Modernización, Secretaría de Desarrollo Urbano y Ambiente y de otras áreas que resulten competentes, informe en forma detallada, completa y documentada respecto de la totalidad de los estudios, relevamientos, diagnósticos, evaluaciones, análisis técnicos y antecedentes realizados o utilizados por las áreas mencionadas en relación con el proyecto tramitado mediante el Expediente Municipal N.º 4067/29834/2026 el cual obra en poder de este Honorable Concejo Deliberante, conforme los siguientes requerimientos: </w:t>
      </w:r>
    </w:p>
    <w:p w14:paraId="0000003E" w14:textId="77777777" w:rsidR="00A261EF" w:rsidRDefault="00A261EF">
      <w:pPr>
        <w:jc w:val="both"/>
        <w:rPr>
          <w:rFonts w:ascii="Times New Roman" w:eastAsia="Times New Roman" w:hAnsi="Times New Roman" w:cs="Times New Roman"/>
          <w:sz w:val="24"/>
          <w:szCs w:val="24"/>
        </w:rPr>
      </w:pPr>
    </w:p>
    <w:p w14:paraId="0000003F"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Estudios y diagnósticos territoriales:</w:t>
      </w:r>
    </w:p>
    <w:p w14:paraId="00000040"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Informe la totalidad de los estudios, relevamientos, diagnósticos y análisis territoriales realizados para la elaboración, evaluación o fundamentación del proyecto, indicando para cada uno: organismo, dependencia o profesional responsable; fecha de realización; período analizado; metodología utilizada; fuentes de información empleadas; ámbito territorial considerado; y principales resultados y conclusiones.</w:t>
      </w:r>
    </w:p>
    <w:p w14:paraId="00000041" w14:textId="77777777" w:rsidR="00A261EF" w:rsidRDefault="00A261EF">
      <w:pPr>
        <w:jc w:val="both"/>
        <w:rPr>
          <w:rFonts w:ascii="Times New Roman" w:eastAsia="Times New Roman" w:hAnsi="Times New Roman" w:cs="Times New Roman"/>
          <w:sz w:val="24"/>
          <w:szCs w:val="24"/>
        </w:rPr>
      </w:pPr>
    </w:p>
    <w:p w14:paraId="00000042"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particular, deberá informarse si se realizaron estudios sobre:</w:t>
      </w:r>
    </w:p>
    <w:p w14:paraId="00000043" w14:textId="77777777" w:rsidR="00A261EF" w:rsidRDefault="00A261EF">
      <w:pPr>
        <w:jc w:val="both"/>
        <w:rPr>
          <w:rFonts w:ascii="Times New Roman" w:eastAsia="Times New Roman" w:hAnsi="Times New Roman" w:cs="Times New Roman"/>
          <w:sz w:val="24"/>
          <w:szCs w:val="24"/>
        </w:rPr>
      </w:pPr>
    </w:p>
    <w:p w14:paraId="00000044" w14:textId="77777777" w:rsidR="00A261EF" w:rsidRDefault="00000000">
      <w:pPr>
        <w:numPr>
          <w:ilvl w:val="0"/>
          <w:numId w:val="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evolución y proyección poblacional;</w:t>
      </w:r>
    </w:p>
    <w:p w14:paraId="00000045" w14:textId="77777777" w:rsidR="00A261EF" w:rsidRDefault="00000000">
      <w:pPr>
        <w:numPr>
          <w:ilvl w:val="0"/>
          <w:numId w:val="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crecimiento y consolidación de la estructura urbana;</w:t>
      </w:r>
    </w:p>
    <w:p w14:paraId="00000046" w14:textId="77777777" w:rsidR="00A261EF" w:rsidRDefault="00000000">
      <w:pPr>
        <w:numPr>
          <w:ilvl w:val="0"/>
          <w:numId w:val="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suelo vacante y disponibilidad de suelo urbanizable;</w:t>
      </w:r>
    </w:p>
    <w:p w14:paraId="00000047" w14:textId="77777777" w:rsidR="00A261EF" w:rsidRDefault="00000000">
      <w:pPr>
        <w:numPr>
          <w:ilvl w:val="0"/>
          <w:numId w:val="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demanda habitacional y necesidades de vivienda;</w:t>
      </w:r>
    </w:p>
    <w:p w14:paraId="00000048" w14:textId="77777777" w:rsidR="00A261EF" w:rsidRDefault="00000000">
      <w:pPr>
        <w:numPr>
          <w:ilvl w:val="0"/>
          <w:numId w:val="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estructura parcelaria y subdivisión del suelo;</w:t>
      </w:r>
    </w:p>
    <w:p w14:paraId="00000049" w14:textId="77777777" w:rsidR="00A261EF" w:rsidRDefault="00000000">
      <w:pPr>
        <w:numPr>
          <w:ilvl w:val="0"/>
          <w:numId w:val="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densidades actuales y proyectadas;</w:t>
      </w:r>
    </w:p>
    <w:p w14:paraId="0000004A" w14:textId="77777777" w:rsidR="00A261EF" w:rsidRDefault="00000000">
      <w:pPr>
        <w:numPr>
          <w:ilvl w:val="0"/>
          <w:numId w:val="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localización y evolución de actividades productivas, industriales y comerciales;</w:t>
      </w:r>
    </w:p>
    <w:p w14:paraId="0000004B" w14:textId="77777777" w:rsidR="00A261EF" w:rsidRDefault="00000000">
      <w:pPr>
        <w:numPr>
          <w:ilvl w:val="0"/>
          <w:numId w:val="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centralidades y equipamientos urbanos;</w:t>
      </w:r>
    </w:p>
    <w:p w14:paraId="0000004C" w14:textId="77777777" w:rsidR="00A261EF" w:rsidRDefault="00000000">
      <w:pPr>
        <w:numPr>
          <w:ilvl w:val="0"/>
          <w:numId w:val="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patrimonio histórico, cultural y natural;</w:t>
      </w:r>
    </w:p>
    <w:p w14:paraId="0000004D" w14:textId="77777777" w:rsidR="00A261EF" w:rsidRDefault="00000000">
      <w:pPr>
        <w:numPr>
          <w:ilvl w:val="0"/>
          <w:numId w:val="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movilidad, tránsito y accesibilidad;</w:t>
      </w:r>
    </w:p>
    <w:p w14:paraId="0000004E" w14:textId="77777777" w:rsidR="00A261EF" w:rsidRDefault="00000000">
      <w:pPr>
        <w:numPr>
          <w:ilvl w:val="0"/>
          <w:numId w:val="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áreas rurales, complementarias y de transición;</w:t>
      </w:r>
    </w:p>
    <w:p w14:paraId="0000004F" w14:textId="77777777" w:rsidR="00A261EF" w:rsidRDefault="00000000">
      <w:pPr>
        <w:numPr>
          <w:ilvl w:val="0"/>
          <w:numId w:val="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expansión de la mancha urbana y escenarios de crecimiento.</w:t>
      </w:r>
    </w:p>
    <w:p w14:paraId="00000050" w14:textId="77777777" w:rsidR="00A261EF" w:rsidRDefault="00A261EF">
      <w:pPr>
        <w:jc w:val="both"/>
        <w:rPr>
          <w:rFonts w:ascii="Times New Roman" w:eastAsia="Times New Roman" w:hAnsi="Times New Roman" w:cs="Times New Roman"/>
          <w:sz w:val="24"/>
          <w:szCs w:val="24"/>
        </w:rPr>
      </w:pPr>
    </w:p>
    <w:p w14:paraId="00000051"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Estudios ambientales, hídricos y de riesgo:</w:t>
      </w:r>
    </w:p>
    <w:p w14:paraId="00000052"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Informe todos los estudios, relevamientos, evaluaciones y análisis realizados respecto de las condiciones ambientales, hídricas y de riesgo del territorio alcanzado por el proyecto, indicando sus responsables, fechas, metodología, áreas analizadas y conclusiones.</w:t>
      </w:r>
    </w:p>
    <w:p w14:paraId="00000053" w14:textId="77777777" w:rsidR="00A261EF" w:rsidRDefault="00A261EF">
      <w:pPr>
        <w:jc w:val="both"/>
        <w:rPr>
          <w:rFonts w:ascii="Times New Roman" w:eastAsia="Times New Roman" w:hAnsi="Times New Roman" w:cs="Times New Roman"/>
          <w:sz w:val="24"/>
          <w:szCs w:val="24"/>
        </w:rPr>
      </w:pPr>
    </w:p>
    <w:p w14:paraId="00000054"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particular, deberá informarse sobre la existencia y resultados de estudios relativos a:</w:t>
      </w:r>
    </w:p>
    <w:p w14:paraId="00000055" w14:textId="77777777" w:rsidR="00A261EF" w:rsidRDefault="00A261EF">
      <w:pPr>
        <w:jc w:val="both"/>
        <w:rPr>
          <w:rFonts w:ascii="Times New Roman" w:eastAsia="Times New Roman" w:hAnsi="Times New Roman" w:cs="Times New Roman"/>
          <w:sz w:val="24"/>
          <w:szCs w:val="24"/>
        </w:rPr>
      </w:pPr>
    </w:p>
    <w:p w14:paraId="00000056" w14:textId="77777777" w:rsidR="00A261EF" w:rsidRDefault="00000000">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aptitud hidráulica y riesgo de inundación;</w:t>
      </w:r>
    </w:p>
    <w:p w14:paraId="00000057" w14:textId="77777777" w:rsidR="00A261EF" w:rsidRDefault="00000000">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comportamiento de escurrimientos superficiales;</w:t>
      </w:r>
    </w:p>
    <w:p w14:paraId="00000058" w14:textId="77777777" w:rsidR="00A261EF" w:rsidRDefault="00000000">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desagües y sistemas de drenaje;</w:t>
      </w:r>
    </w:p>
    <w:p w14:paraId="00000059" w14:textId="77777777" w:rsidR="00A261EF" w:rsidRDefault="00000000">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cuencas y subcuencas involucradas;</w:t>
      </w:r>
    </w:p>
    <w:p w14:paraId="0000005A" w14:textId="77777777" w:rsidR="00A261EF" w:rsidRDefault="00000000">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niveles y comportamiento de los cursos y cuerpos de agua;</w:t>
      </w:r>
    </w:p>
    <w:p w14:paraId="0000005B" w14:textId="77777777" w:rsidR="00A261EF" w:rsidRDefault="00000000">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acuíferos y recursos hídricos subterráneos;</w:t>
      </w:r>
    </w:p>
    <w:p w14:paraId="0000005C" w14:textId="77777777" w:rsidR="00A261EF" w:rsidRDefault="00000000">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Laguna de Lobos y su área de influencia;</w:t>
      </w:r>
    </w:p>
    <w:p w14:paraId="0000005D" w14:textId="77777777" w:rsidR="00A261EF" w:rsidRDefault="00000000">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capacidad y aptitud del suelo;</w:t>
      </w:r>
    </w:p>
    <w:p w14:paraId="0000005E" w14:textId="77777777" w:rsidR="00A261EF" w:rsidRDefault="00000000">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condiciones de absorción y escorrentía;</w:t>
      </w:r>
    </w:p>
    <w:p w14:paraId="0000005F" w14:textId="77777777" w:rsidR="00A261EF" w:rsidRDefault="00000000">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evaluación de impactos ambientales;</w:t>
      </w:r>
    </w:p>
    <w:p w14:paraId="00000060" w14:textId="77777777" w:rsidR="00A261EF" w:rsidRDefault="00000000">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áreas ambientalmente sensibles;</w:t>
      </w:r>
    </w:p>
    <w:p w14:paraId="00000061" w14:textId="77777777" w:rsidR="00A261EF" w:rsidRDefault="00000000">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franjas y áreas de protección;</w:t>
      </w:r>
    </w:p>
    <w:p w14:paraId="00000062" w14:textId="77777777" w:rsidR="00A261EF" w:rsidRDefault="00000000">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riesgos naturales o antrópicos;</w:t>
      </w:r>
    </w:p>
    <w:p w14:paraId="00000063" w14:textId="77777777" w:rsidR="00A261EF" w:rsidRDefault="00000000">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compatibilidad ambiental entre usos residenciales, rurales, industriales, productivos y de servicios.</w:t>
      </w:r>
    </w:p>
    <w:p w14:paraId="00000064" w14:textId="77777777" w:rsidR="00A261EF" w:rsidRDefault="00A261EF">
      <w:pPr>
        <w:jc w:val="both"/>
        <w:rPr>
          <w:rFonts w:ascii="Times New Roman" w:eastAsia="Times New Roman" w:hAnsi="Times New Roman" w:cs="Times New Roman"/>
          <w:sz w:val="24"/>
          <w:szCs w:val="24"/>
        </w:rPr>
      </w:pPr>
    </w:p>
    <w:p w14:paraId="00000065"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Asimismo, deberá indicarse expresamente si se realizaron estudios específicos para determinar la aptitud de las áreas que se pretende incorporar, modificar, densificar o afectar con nuevos usos, detallando sus resultados.</w:t>
      </w:r>
    </w:p>
    <w:p w14:paraId="00000066" w14:textId="77777777" w:rsidR="00A261EF" w:rsidRDefault="00A261EF">
      <w:pPr>
        <w:jc w:val="both"/>
        <w:rPr>
          <w:rFonts w:ascii="Times New Roman" w:eastAsia="Times New Roman" w:hAnsi="Times New Roman" w:cs="Times New Roman"/>
          <w:sz w:val="24"/>
          <w:szCs w:val="24"/>
        </w:rPr>
      </w:pPr>
    </w:p>
    <w:p w14:paraId="00000067"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Estudios sobre infraestructura y servicios públicos:</w:t>
      </w:r>
    </w:p>
    <w:p w14:paraId="00000068"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Informe la totalidad de los estudios, diagnósticos, relevamientos y evaluaciones realizados para determinar la capacidad actual, cobertura, déficits y necesidades de ampliación de la infraestructura y de los servicios públicos en las áreas involucradas por el proyecto.</w:t>
      </w:r>
    </w:p>
    <w:p w14:paraId="00000069" w14:textId="77777777" w:rsidR="00A261EF" w:rsidRDefault="00A261EF">
      <w:pPr>
        <w:jc w:val="both"/>
        <w:rPr>
          <w:rFonts w:ascii="Times New Roman" w:eastAsia="Times New Roman" w:hAnsi="Times New Roman" w:cs="Times New Roman"/>
          <w:sz w:val="24"/>
          <w:szCs w:val="24"/>
        </w:rPr>
      </w:pPr>
    </w:p>
    <w:p w14:paraId="0000006A"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Deberá informarse, como mínimo, respecto de:</w:t>
      </w:r>
    </w:p>
    <w:p w14:paraId="0000006B" w14:textId="77777777" w:rsidR="00A261EF" w:rsidRDefault="00A261EF">
      <w:pPr>
        <w:jc w:val="both"/>
        <w:rPr>
          <w:rFonts w:ascii="Times New Roman" w:eastAsia="Times New Roman" w:hAnsi="Times New Roman" w:cs="Times New Roman"/>
          <w:sz w:val="24"/>
          <w:szCs w:val="24"/>
        </w:rPr>
      </w:pPr>
    </w:p>
    <w:p w14:paraId="0000006C" w14:textId="77777777" w:rsidR="00A261EF" w:rsidRDefault="00000000">
      <w:pPr>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provisión y capacidad de agua potable;</w:t>
      </w:r>
    </w:p>
    <w:p w14:paraId="0000006D" w14:textId="77777777" w:rsidR="00A261EF" w:rsidRDefault="00000000">
      <w:pPr>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saneamiento cloacal;</w:t>
      </w:r>
    </w:p>
    <w:p w14:paraId="0000006E" w14:textId="77777777" w:rsidR="00A261EF" w:rsidRDefault="00000000">
      <w:pPr>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drenaje y desagües pluviales;</w:t>
      </w:r>
    </w:p>
    <w:p w14:paraId="0000006F" w14:textId="77777777" w:rsidR="00A261EF" w:rsidRDefault="00000000">
      <w:pPr>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energía eléctrica;</w:t>
      </w:r>
    </w:p>
    <w:p w14:paraId="00000070" w14:textId="77777777" w:rsidR="00A261EF" w:rsidRDefault="00000000">
      <w:pPr>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alumbrado público;</w:t>
      </w:r>
    </w:p>
    <w:p w14:paraId="00000071" w14:textId="77777777" w:rsidR="00A261EF" w:rsidRDefault="00000000">
      <w:pPr>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provisión de gas;</w:t>
      </w:r>
    </w:p>
    <w:p w14:paraId="00000072" w14:textId="77777777" w:rsidR="00A261EF" w:rsidRDefault="00000000">
      <w:pPr>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conectividad y telecomunicaciones;</w:t>
      </w:r>
    </w:p>
    <w:p w14:paraId="00000073" w14:textId="77777777" w:rsidR="00A261EF" w:rsidRDefault="00000000">
      <w:pPr>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pavimentación y red vial;</w:t>
      </w:r>
    </w:p>
    <w:p w14:paraId="00000074" w14:textId="77777777" w:rsidR="00A261EF" w:rsidRDefault="00000000">
      <w:pPr>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accesibilidad;</w:t>
      </w:r>
    </w:p>
    <w:p w14:paraId="00000075" w14:textId="77777777" w:rsidR="00A261EF" w:rsidRDefault="00000000">
      <w:pPr>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transporte público;</w:t>
      </w:r>
    </w:p>
    <w:p w14:paraId="00000076" w14:textId="77777777" w:rsidR="00A261EF" w:rsidRDefault="00000000">
      <w:pPr>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recolección y disposición de residuos;</w:t>
      </w:r>
    </w:p>
    <w:p w14:paraId="00000077" w14:textId="77777777" w:rsidR="00A261EF" w:rsidRDefault="00000000">
      <w:pPr>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equipamiento comunitario;</w:t>
      </w:r>
    </w:p>
    <w:p w14:paraId="00000078" w14:textId="77777777" w:rsidR="00A261EF" w:rsidRDefault="00000000">
      <w:pPr>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establecimientos educativos;</w:t>
      </w:r>
    </w:p>
    <w:p w14:paraId="00000079" w14:textId="77777777" w:rsidR="00A261EF" w:rsidRDefault="00000000">
      <w:pPr>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establecimientos sanitarios;</w:t>
      </w:r>
    </w:p>
    <w:p w14:paraId="0000007A" w14:textId="77777777" w:rsidR="00A261EF" w:rsidRDefault="00000000">
      <w:pPr>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espacios verdes y recreativos y demás servicios e infraestructuras urbanas que resulten necesarios.</w:t>
      </w:r>
    </w:p>
    <w:p w14:paraId="0000007B" w14:textId="77777777" w:rsidR="00A261EF" w:rsidRDefault="00A261EF">
      <w:pPr>
        <w:jc w:val="both"/>
        <w:rPr>
          <w:rFonts w:ascii="Times New Roman" w:eastAsia="Times New Roman" w:hAnsi="Times New Roman" w:cs="Times New Roman"/>
          <w:sz w:val="24"/>
          <w:szCs w:val="24"/>
        </w:rPr>
      </w:pPr>
    </w:p>
    <w:p w14:paraId="0000007C"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cada estudio deberá indicarse qué capacidad instalada fue evaluada, cuál es la demanda actual, cuál sería la demanda proyectada como consecuencia del proyecto y si la infraestructura existente resulta suficiente para atenderla.</w:t>
      </w:r>
    </w:p>
    <w:p w14:paraId="0000007D" w14:textId="77777777" w:rsidR="00A261EF" w:rsidRDefault="00A261EF">
      <w:pPr>
        <w:jc w:val="both"/>
        <w:rPr>
          <w:rFonts w:ascii="Times New Roman" w:eastAsia="Times New Roman" w:hAnsi="Times New Roman" w:cs="Times New Roman"/>
          <w:sz w:val="24"/>
          <w:szCs w:val="24"/>
        </w:rPr>
      </w:pPr>
    </w:p>
    <w:p w14:paraId="0000007E"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Estudios de impacto y capacidad de soporte territorial:</w:t>
      </w:r>
    </w:p>
    <w:p w14:paraId="0000007F"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Informe si se realizaron estudios destinados a determinar la capacidad de soporte del territorio frente a los cambios de uso, densificación, subdivisión, expansión o incorporación de nuevas áreas previstos en el proyecto.</w:t>
      </w:r>
    </w:p>
    <w:p w14:paraId="00000080" w14:textId="77777777" w:rsidR="00A261EF" w:rsidRDefault="00A261EF">
      <w:pPr>
        <w:jc w:val="both"/>
        <w:rPr>
          <w:rFonts w:ascii="Times New Roman" w:eastAsia="Times New Roman" w:hAnsi="Times New Roman" w:cs="Times New Roman"/>
          <w:sz w:val="24"/>
          <w:szCs w:val="24"/>
        </w:rPr>
      </w:pPr>
    </w:p>
    <w:p w14:paraId="00000081"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Estudios de movilidad y tránsito:</w:t>
      </w:r>
    </w:p>
    <w:p w14:paraId="00000082"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Informe todos los estudios, conteos, relevamientos, modelizaciones, proyecciones y análisis realizados respecto del tránsito y la movilidad vinculados con el proyecto.</w:t>
      </w:r>
    </w:p>
    <w:p w14:paraId="00000083" w14:textId="77777777" w:rsidR="00A261EF" w:rsidRDefault="00A261EF">
      <w:pPr>
        <w:jc w:val="both"/>
        <w:rPr>
          <w:rFonts w:ascii="Times New Roman" w:eastAsia="Times New Roman" w:hAnsi="Times New Roman" w:cs="Times New Roman"/>
          <w:sz w:val="24"/>
          <w:szCs w:val="24"/>
        </w:rPr>
      </w:pPr>
    </w:p>
    <w:p w14:paraId="00000084"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Estudios económicos, financieros y de inversión:</w:t>
      </w:r>
    </w:p>
    <w:p w14:paraId="00000085"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Informe todos los estudios, evaluaciones o estimaciones económicas y financieras realizados para determinar los costos derivados de las transformaciones territoriales propuestas.</w:t>
      </w:r>
    </w:p>
    <w:p w14:paraId="00000086" w14:textId="77777777" w:rsidR="00A261EF" w:rsidRDefault="00A261EF">
      <w:pPr>
        <w:jc w:val="both"/>
        <w:rPr>
          <w:rFonts w:ascii="Times New Roman" w:eastAsia="Times New Roman" w:hAnsi="Times New Roman" w:cs="Times New Roman"/>
          <w:sz w:val="24"/>
          <w:szCs w:val="24"/>
        </w:rPr>
      </w:pPr>
    </w:p>
    <w:p w14:paraId="00000087"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particular, deberá informarse si se calcularon:</w:t>
      </w:r>
    </w:p>
    <w:p w14:paraId="00000088" w14:textId="77777777" w:rsidR="00A261EF" w:rsidRDefault="00A261EF">
      <w:pPr>
        <w:jc w:val="both"/>
        <w:rPr>
          <w:rFonts w:ascii="Times New Roman" w:eastAsia="Times New Roman" w:hAnsi="Times New Roman" w:cs="Times New Roman"/>
          <w:sz w:val="24"/>
          <w:szCs w:val="24"/>
        </w:rPr>
      </w:pPr>
    </w:p>
    <w:p w14:paraId="00000089" w14:textId="77777777" w:rsidR="00A261EF" w:rsidRDefault="00000000">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costos de infraestructura nueva;</w:t>
      </w:r>
    </w:p>
    <w:p w14:paraId="0000008A" w14:textId="77777777" w:rsidR="00A261EF" w:rsidRDefault="00000000">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costos de ampliación de redes existentes;</w:t>
      </w:r>
    </w:p>
    <w:p w14:paraId="0000008B" w14:textId="77777777" w:rsidR="00A261EF" w:rsidRDefault="00000000">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costos de mantenimiento;</w:t>
      </w:r>
    </w:p>
    <w:p w14:paraId="0000008C" w14:textId="77777777" w:rsidR="00A261EF" w:rsidRDefault="00000000">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costos de operación;</w:t>
      </w:r>
    </w:p>
    <w:p w14:paraId="0000008D" w14:textId="77777777" w:rsidR="00A261EF" w:rsidRDefault="00000000">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inversiones necesarias en infraestructura vial, hidráulica, sanitaria y de servicios;</w:t>
      </w:r>
    </w:p>
    <w:p w14:paraId="0000008E" w14:textId="77777777" w:rsidR="00A261EF" w:rsidRDefault="00000000">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costos asociados a equipamiento comunitario;</w:t>
      </w:r>
    </w:p>
    <w:p w14:paraId="0000008F" w14:textId="77777777" w:rsidR="00A261EF" w:rsidRDefault="00000000">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etapas de ejecución;</w:t>
      </w:r>
    </w:p>
    <w:p w14:paraId="00000090" w14:textId="77777777" w:rsidR="00A261EF" w:rsidRDefault="00000000">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fuentes de financiamiento previstas;</w:t>
      </w:r>
    </w:p>
    <w:p w14:paraId="00000091" w14:textId="77777777" w:rsidR="00A261EF" w:rsidRDefault="00000000">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impacto de dichas inversiones sobre el Presupuesto Municipal.</w:t>
      </w:r>
    </w:p>
    <w:p w14:paraId="00000092" w14:textId="77777777" w:rsidR="00A261EF" w:rsidRDefault="00A261EF">
      <w:pPr>
        <w:jc w:val="both"/>
        <w:rPr>
          <w:rFonts w:ascii="Times New Roman" w:eastAsia="Times New Roman" w:hAnsi="Times New Roman" w:cs="Times New Roman"/>
          <w:sz w:val="24"/>
          <w:szCs w:val="24"/>
        </w:rPr>
      </w:pPr>
    </w:p>
    <w:p w14:paraId="00000093"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Asimismo, deberá informarse si existe una estimación del costo total que implicaría para el Municipio la implementación de las modificaciones propuestas, indicando el monto estimado, metodología utilizada y fecha de cálculo.</w:t>
      </w:r>
    </w:p>
    <w:p w14:paraId="00000094" w14:textId="77777777" w:rsidR="00A261EF" w:rsidRDefault="00A261EF">
      <w:pPr>
        <w:jc w:val="both"/>
        <w:rPr>
          <w:rFonts w:ascii="Times New Roman" w:eastAsia="Times New Roman" w:hAnsi="Times New Roman" w:cs="Times New Roman"/>
          <w:sz w:val="24"/>
          <w:szCs w:val="24"/>
        </w:rPr>
      </w:pPr>
    </w:p>
    <w:p w14:paraId="00000095"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Estudios de factibilidad y prefactibilidad:</w:t>
      </w:r>
    </w:p>
    <w:p w14:paraId="00000096"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Informe la totalidad de los estudios de factibilidad, prefactibilidad o viabilidad realizados respecto de las modificaciones propuestas, indicando para cada uno el organismo o profesional interviniente, fecha, objeto del estudio, metodología utilizada y conclusión.</w:t>
      </w:r>
    </w:p>
    <w:p w14:paraId="00000097" w14:textId="77777777" w:rsidR="00A261EF" w:rsidRDefault="00A261EF">
      <w:pPr>
        <w:jc w:val="both"/>
        <w:rPr>
          <w:rFonts w:ascii="Times New Roman" w:eastAsia="Times New Roman" w:hAnsi="Times New Roman" w:cs="Times New Roman"/>
          <w:sz w:val="24"/>
          <w:szCs w:val="24"/>
        </w:rPr>
      </w:pPr>
    </w:p>
    <w:p w14:paraId="00000098"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Estudios de impacto sobre áreas específicas:</w:t>
      </w:r>
    </w:p>
    <w:p w14:paraId="00000099"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Informe todos los estudios particulares realizados sobre cada una de las zonas, sectores, parcelas, corredores, áreas o unidades territoriales alcanzadas por las modificaciones propuestas.</w:t>
      </w:r>
    </w:p>
    <w:p w14:paraId="0000009A" w14:textId="77777777" w:rsidR="00A261EF" w:rsidRDefault="00A261EF">
      <w:pPr>
        <w:jc w:val="both"/>
        <w:rPr>
          <w:rFonts w:ascii="Times New Roman" w:eastAsia="Times New Roman" w:hAnsi="Times New Roman" w:cs="Times New Roman"/>
          <w:sz w:val="24"/>
          <w:szCs w:val="24"/>
        </w:rPr>
      </w:pPr>
    </w:p>
    <w:p w14:paraId="0000009B"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cada área deberá indicarse:</w:t>
      </w:r>
    </w:p>
    <w:p w14:paraId="0000009C" w14:textId="77777777" w:rsidR="00A261EF" w:rsidRDefault="00A261EF">
      <w:pPr>
        <w:jc w:val="both"/>
        <w:rPr>
          <w:rFonts w:ascii="Times New Roman" w:eastAsia="Times New Roman" w:hAnsi="Times New Roman" w:cs="Times New Roman"/>
          <w:sz w:val="24"/>
          <w:szCs w:val="24"/>
        </w:rPr>
      </w:pPr>
    </w:p>
    <w:p w14:paraId="0000009D" w14:textId="77777777" w:rsidR="00A261EF" w:rsidRDefault="00000000">
      <w:pPr>
        <w:numPr>
          <w:ilvl w:val="0"/>
          <w:numId w:val="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situación territorial actual;</w:t>
      </w:r>
    </w:p>
    <w:p w14:paraId="0000009E" w14:textId="77777777" w:rsidR="00A261EF" w:rsidRDefault="00000000">
      <w:pPr>
        <w:numPr>
          <w:ilvl w:val="0"/>
          <w:numId w:val="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uso del suelo existente;</w:t>
      </w:r>
    </w:p>
    <w:p w14:paraId="0000009F" w14:textId="77777777" w:rsidR="00A261EF" w:rsidRDefault="00000000">
      <w:pPr>
        <w:numPr>
          <w:ilvl w:val="0"/>
          <w:numId w:val="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infraestructura disponible;</w:t>
      </w:r>
    </w:p>
    <w:p w14:paraId="000000A0" w14:textId="77777777" w:rsidR="00A261EF" w:rsidRDefault="00000000">
      <w:pPr>
        <w:numPr>
          <w:ilvl w:val="0"/>
          <w:numId w:val="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servicios existentes;</w:t>
      </w:r>
    </w:p>
    <w:p w14:paraId="000000A1" w14:textId="77777777" w:rsidR="00A261EF" w:rsidRDefault="00000000">
      <w:pPr>
        <w:numPr>
          <w:ilvl w:val="0"/>
          <w:numId w:val="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restricciones ambientales e hídricas;</w:t>
      </w:r>
    </w:p>
    <w:p w14:paraId="000000A2" w14:textId="77777777" w:rsidR="00A261EF" w:rsidRDefault="00000000">
      <w:pPr>
        <w:numPr>
          <w:ilvl w:val="0"/>
          <w:numId w:val="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riesgos identificados;</w:t>
      </w:r>
    </w:p>
    <w:p w14:paraId="000000A3" w14:textId="77777777" w:rsidR="00A261EF" w:rsidRDefault="00000000">
      <w:pPr>
        <w:numPr>
          <w:ilvl w:val="0"/>
          <w:numId w:val="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población actual;</w:t>
      </w:r>
    </w:p>
    <w:p w14:paraId="000000A4" w14:textId="77777777" w:rsidR="00A261EF" w:rsidRDefault="00000000">
      <w:pPr>
        <w:numPr>
          <w:ilvl w:val="0"/>
          <w:numId w:val="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población o desarrollo potencial estimado;</w:t>
      </w:r>
    </w:p>
    <w:p w14:paraId="000000A5" w14:textId="77777777" w:rsidR="00A261EF" w:rsidRDefault="00000000">
      <w:pPr>
        <w:numPr>
          <w:ilvl w:val="0"/>
          <w:numId w:val="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usos propuestos;</w:t>
      </w:r>
    </w:p>
    <w:p w14:paraId="000000A6" w14:textId="77777777" w:rsidR="00A261EF" w:rsidRDefault="00000000">
      <w:pPr>
        <w:numPr>
          <w:ilvl w:val="0"/>
          <w:numId w:val="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estudios realizados específicamente sobre el área;</w:t>
      </w:r>
    </w:p>
    <w:p w14:paraId="000000A7" w14:textId="77777777" w:rsidR="00A261EF" w:rsidRDefault="00000000">
      <w:pPr>
        <w:numPr>
          <w:ilvl w:val="0"/>
          <w:numId w:val="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conclusiones de dichos estudios;</w:t>
      </w:r>
    </w:p>
    <w:p w14:paraId="000000A8" w14:textId="77777777" w:rsidR="00A261EF" w:rsidRDefault="00000000">
      <w:pPr>
        <w:numPr>
          <w:ilvl w:val="0"/>
          <w:numId w:val="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condiciones, restricciones o medidas de mitigación recomendadas.</w:t>
      </w:r>
    </w:p>
    <w:p w14:paraId="000000A9" w14:textId="77777777" w:rsidR="00A261EF" w:rsidRDefault="00A261EF">
      <w:pPr>
        <w:jc w:val="both"/>
        <w:rPr>
          <w:rFonts w:ascii="Times New Roman" w:eastAsia="Times New Roman" w:hAnsi="Times New Roman" w:cs="Times New Roman"/>
          <w:sz w:val="24"/>
          <w:szCs w:val="24"/>
        </w:rPr>
      </w:pPr>
    </w:p>
    <w:p w14:paraId="000000AA"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 Identificación de estudios no realizados:</w:t>
      </w:r>
    </w:p>
    <w:p w14:paraId="000000AB"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Informe expresamente qué estudios, relevamientos, diagnósticos, evaluaciones o análisis fueron considerados necesarios para fundamentar técnicamente el </w:t>
      </w:r>
      <w:proofErr w:type="gramStart"/>
      <w:r>
        <w:rPr>
          <w:rFonts w:ascii="Times New Roman" w:eastAsia="Times New Roman" w:hAnsi="Times New Roman" w:cs="Times New Roman"/>
          <w:sz w:val="24"/>
          <w:szCs w:val="24"/>
        </w:rPr>
        <w:t>proyecto</w:t>
      </w:r>
      <w:proofErr w:type="gramEnd"/>
      <w:r>
        <w:rPr>
          <w:rFonts w:ascii="Times New Roman" w:eastAsia="Times New Roman" w:hAnsi="Times New Roman" w:cs="Times New Roman"/>
          <w:sz w:val="24"/>
          <w:szCs w:val="24"/>
        </w:rPr>
        <w:t xml:space="preserve"> pero no fueron realizados, indicando, en cada caso, si se prevé su realización, el área responsable y el plazo estimado. Asimismo, deberá informarse si existen aspectos del proyecto que hayan sido definidos sin contar con estudios técnicos específicos que los sustenten.</w:t>
      </w:r>
    </w:p>
    <w:p w14:paraId="000000AC" w14:textId="77777777" w:rsidR="00A261EF" w:rsidRDefault="00A261EF">
      <w:pPr>
        <w:jc w:val="both"/>
        <w:rPr>
          <w:rFonts w:ascii="Times New Roman" w:eastAsia="Times New Roman" w:hAnsi="Times New Roman" w:cs="Times New Roman"/>
          <w:sz w:val="24"/>
          <w:szCs w:val="24"/>
        </w:rPr>
      </w:pPr>
    </w:p>
    <w:p w14:paraId="000000AD"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Documentación respaldatoria:</w:t>
      </w:r>
    </w:p>
    <w:p w14:paraId="000000AE"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Sin perjuicio de que el Expediente Municipal N.º 4067-29834/2026 ya se encuentra en poder de este Honorable Concejo Deliberante, solicítese que la información requerida sea acompañada, cuando corresponda, con copia de los estudios, informes, relevamientos, planos, mapas, matrices, bases de datos, resultados, anexos y demás documentación técnica que </w:t>
      </w:r>
      <w:r>
        <w:rPr>
          <w:rFonts w:ascii="Times New Roman" w:eastAsia="Times New Roman" w:hAnsi="Times New Roman" w:cs="Times New Roman"/>
          <w:sz w:val="24"/>
          <w:szCs w:val="24"/>
        </w:rPr>
        <w:lastRenderedPageBreak/>
        <w:t>permita verificar y analizar sus conclusiones, preferentemente en formato digital y en su versión original.</w:t>
      </w:r>
    </w:p>
    <w:p w14:paraId="000000AF" w14:textId="77777777" w:rsidR="00A261EF" w:rsidRDefault="00A261EF">
      <w:pPr>
        <w:jc w:val="both"/>
        <w:rPr>
          <w:rFonts w:ascii="Times New Roman" w:eastAsia="Times New Roman" w:hAnsi="Times New Roman" w:cs="Times New Roman"/>
          <w:sz w:val="24"/>
          <w:szCs w:val="24"/>
        </w:rPr>
      </w:pPr>
    </w:p>
    <w:p w14:paraId="000000B0"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ARTÍCULO 2.º: Solicítese que la respuesta sea presentada siguiendo el orden de los puntos precedentemente detallados, identificando para cada uno de ellos la documentación entregada, su fecha, número de expediente, folios o archivo correspondiente. </w:t>
      </w:r>
    </w:p>
    <w:p w14:paraId="000000B1" w14:textId="77777777" w:rsidR="00A261EF" w:rsidRDefault="00A261EF">
      <w:pPr>
        <w:jc w:val="both"/>
        <w:rPr>
          <w:rFonts w:ascii="Times New Roman" w:eastAsia="Times New Roman" w:hAnsi="Times New Roman" w:cs="Times New Roman"/>
          <w:sz w:val="24"/>
          <w:szCs w:val="24"/>
        </w:rPr>
      </w:pPr>
    </w:p>
    <w:p w14:paraId="000000B2"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ARTÍCULO 3.º: Solicítese al Departamento Ejecutivo Municipal que informe si existe un plan de estudios de capacidad de carga ambiental para el territorio del Partido de Lobos y, en caso afirmativo, remita sus términos de referencia, metodología, organismos responsables, presupuesto, cronograma y estado de ejecución. Los estudios deberán contemplar, como mínimo:</w:t>
      </w:r>
    </w:p>
    <w:p w14:paraId="000000B3" w14:textId="77777777" w:rsidR="00A261EF" w:rsidRDefault="00A261EF">
      <w:pPr>
        <w:jc w:val="both"/>
        <w:rPr>
          <w:rFonts w:ascii="Times New Roman" w:eastAsia="Times New Roman" w:hAnsi="Times New Roman" w:cs="Times New Roman"/>
          <w:sz w:val="24"/>
          <w:szCs w:val="24"/>
        </w:rPr>
      </w:pPr>
    </w:p>
    <w:p w14:paraId="000000B4"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Hidrogeología: profundidad de la napa, dirección del flujo subterráneo, vulnerabilidad del acuífero y distancias a pozos de extracción de agua potable.</w:t>
      </w:r>
    </w:p>
    <w:p w14:paraId="000000B5"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Calidad del agua: parámetros fisicoquímicos y microbiológicos en aguas subterráneas superficiales y profundas, Laguna de Lobos y sus afluentes.</w:t>
      </w:r>
    </w:p>
    <w:p w14:paraId="000000B6"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Suelo: textura, permeabilidad, capacidad de infiltración y riesgo de lixiviación de nitratos y fosfatos.</w:t>
      </w:r>
    </w:p>
    <w:p w14:paraId="000000B7"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Carga de nutrientes: aportes actuales y proyectados de efluentes cloacales, fertilizantes y escorrentías superficiales.</w:t>
      </w:r>
    </w:p>
    <w:p w14:paraId="000000B8"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Sistemas de tratamiento: eficacia de pozos absorbentes, cámaras sépticas, biodigestores y plantas de tratamiento individuales o colectivas.</w:t>
      </w:r>
    </w:p>
    <w:p w14:paraId="000000B9"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Escenarios de densificación: evaluación de diferentes densidades poblacionales y sus efectos sobre la calidad del agua, la infraestructura, el ambiente y la salud pública.</w:t>
      </w:r>
    </w:p>
    <w:p w14:paraId="000000BA" w14:textId="77777777" w:rsidR="00A261EF" w:rsidRDefault="00A261EF">
      <w:pPr>
        <w:jc w:val="both"/>
        <w:rPr>
          <w:rFonts w:ascii="Times New Roman" w:eastAsia="Times New Roman" w:hAnsi="Times New Roman" w:cs="Times New Roman"/>
          <w:sz w:val="24"/>
          <w:szCs w:val="24"/>
        </w:rPr>
      </w:pPr>
    </w:p>
    <w:p w14:paraId="000000BB"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Solicítese que los resultados sean remitidos a este Honorable Cuerpo y se evalúe su incorporación como Anexo de Capacidad de Carga del Código de Zonificación.</w:t>
      </w:r>
    </w:p>
    <w:p w14:paraId="000000BC" w14:textId="77777777" w:rsidR="00A261EF" w:rsidRDefault="00A261EF">
      <w:pPr>
        <w:jc w:val="both"/>
        <w:rPr>
          <w:rFonts w:ascii="Times New Roman" w:eastAsia="Times New Roman" w:hAnsi="Times New Roman" w:cs="Times New Roman"/>
          <w:sz w:val="24"/>
          <w:szCs w:val="24"/>
        </w:rPr>
      </w:pPr>
    </w:p>
    <w:p w14:paraId="000000BD"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ARTÍCULO 4.º: Solicítese al Departamento Ejecutivo Municipal que informe los criterios técnicos, ambientales y sanitarios previstos para la regulación de la actividad agrícola que involucre la utilización de pesticidas, herbicidas, fertilizantes y demás productos fitosanitarios, particularmente en sectores linderos a:</w:t>
      </w:r>
    </w:p>
    <w:p w14:paraId="000000BE" w14:textId="77777777" w:rsidR="00A261EF" w:rsidRDefault="00A261EF">
      <w:pPr>
        <w:jc w:val="both"/>
        <w:rPr>
          <w:rFonts w:ascii="Times New Roman" w:eastAsia="Times New Roman" w:hAnsi="Times New Roman" w:cs="Times New Roman"/>
          <w:sz w:val="24"/>
          <w:szCs w:val="24"/>
        </w:rPr>
      </w:pPr>
    </w:p>
    <w:p w14:paraId="000000BF"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Zona Reserva Acuífero.</w:t>
      </w:r>
    </w:p>
    <w:p w14:paraId="000000C0" w14:textId="77777777" w:rsidR="00A261EF" w:rsidRDefault="00A261EF">
      <w:pPr>
        <w:jc w:val="both"/>
        <w:rPr>
          <w:rFonts w:ascii="Times New Roman" w:eastAsia="Times New Roman" w:hAnsi="Times New Roman" w:cs="Times New Roman"/>
          <w:sz w:val="24"/>
          <w:szCs w:val="24"/>
        </w:rPr>
      </w:pPr>
    </w:p>
    <w:p w14:paraId="000000C1"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Áreas urbanas residenciales y extraurbanas.</w:t>
      </w:r>
    </w:p>
    <w:p w14:paraId="000000C2" w14:textId="77777777" w:rsidR="00A261EF" w:rsidRDefault="00A261EF">
      <w:pPr>
        <w:jc w:val="both"/>
        <w:rPr>
          <w:rFonts w:ascii="Times New Roman" w:eastAsia="Times New Roman" w:hAnsi="Times New Roman" w:cs="Times New Roman"/>
          <w:sz w:val="24"/>
          <w:szCs w:val="24"/>
        </w:rPr>
      </w:pPr>
    </w:p>
    <w:p w14:paraId="000000C3"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Establecimientos educativos y de salud.</w:t>
      </w:r>
    </w:p>
    <w:p w14:paraId="000000C4" w14:textId="77777777" w:rsidR="00A261EF" w:rsidRDefault="00A261EF">
      <w:pPr>
        <w:jc w:val="both"/>
        <w:rPr>
          <w:rFonts w:ascii="Times New Roman" w:eastAsia="Times New Roman" w:hAnsi="Times New Roman" w:cs="Times New Roman"/>
          <w:sz w:val="24"/>
          <w:szCs w:val="24"/>
        </w:rPr>
      </w:pPr>
    </w:p>
    <w:p w14:paraId="000000C5"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Ejes Turísticos Patrimoniales.</w:t>
      </w:r>
    </w:p>
    <w:p w14:paraId="000000C6" w14:textId="77777777" w:rsidR="00A261EF" w:rsidRDefault="00A261EF">
      <w:pPr>
        <w:jc w:val="both"/>
        <w:rPr>
          <w:rFonts w:ascii="Times New Roman" w:eastAsia="Times New Roman" w:hAnsi="Times New Roman" w:cs="Times New Roman"/>
          <w:sz w:val="24"/>
          <w:szCs w:val="24"/>
        </w:rPr>
      </w:pPr>
    </w:p>
    <w:p w14:paraId="000000C7"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Laguna de Lobos y demás áreas ambientalmente sensibles.</w:t>
      </w:r>
    </w:p>
    <w:p w14:paraId="000000C8" w14:textId="77777777" w:rsidR="00A261EF" w:rsidRDefault="00A261EF">
      <w:pPr>
        <w:jc w:val="both"/>
        <w:rPr>
          <w:rFonts w:ascii="Times New Roman" w:eastAsia="Times New Roman" w:hAnsi="Times New Roman" w:cs="Times New Roman"/>
          <w:sz w:val="24"/>
          <w:szCs w:val="24"/>
        </w:rPr>
      </w:pPr>
    </w:p>
    <w:p w14:paraId="000000C9"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Asimismo, se solicita remitir los antecedentes existentes respecto de distancias de resguardo, procedimientos de autorización, evaluación técnica previa, fiscalización municipal, monitoreo ambiental, registro de aplicaciones y mecanismos de control.</w:t>
      </w:r>
    </w:p>
    <w:p w14:paraId="000000CA" w14:textId="77777777" w:rsidR="00A261EF" w:rsidRDefault="00A261EF">
      <w:pPr>
        <w:jc w:val="both"/>
        <w:rPr>
          <w:rFonts w:ascii="Times New Roman" w:eastAsia="Times New Roman" w:hAnsi="Times New Roman" w:cs="Times New Roman"/>
          <w:sz w:val="24"/>
          <w:szCs w:val="24"/>
        </w:rPr>
      </w:pPr>
    </w:p>
    <w:p w14:paraId="000000CB"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Solicítese, además, que se evalúe la incorporación al Código de Zonificación de una cláusula específica que contemple la autorización técnica previa y el cumplimiento de las restricciones ambientales y sanitarias que determine la autoridad competente, sin perjuicio de las prohibiciones ya previstas para la Zona Reserva Acuífero.</w:t>
      </w:r>
    </w:p>
    <w:p w14:paraId="000000CC" w14:textId="77777777" w:rsidR="00A261EF" w:rsidRDefault="00A261EF">
      <w:pPr>
        <w:jc w:val="both"/>
        <w:rPr>
          <w:rFonts w:ascii="Times New Roman" w:eastAsia="Times New Roman" w:hAnsi="Times New Roman" w:cs="Times New Roman"/>
          <w:sz w:val="24"/>
          <w:szCs w:val="24"/>
        </w:rPr>
      </w:pPr>
    </w:p>
    <w:p w14:paraId="000000CD"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ARTÍCULO 5.º: Solicítese al Departamento Ejecutivo Municipal que informe si se ha evaluado las condiciones y regulación referente a la instalación de los </w:t>
      </w:r>
      <w:proofErr w:type="spellStart"/>
      <w:r>
        <w:rPr>
          <w:rFonts w:ascii="Times New Roman" w:eastAsia="Times New Roman" w:hAnsi="Times New Roman" w:cs="Times New Roman"/>
          <w:sz w:val="24"/>
          <w:szCs w:val="24"/>
        </w:rPr>
        <w:t>feedlots</w:t>
      </w:r>
      <w:proofErr w:type="spellEnd"/>
      <w:r>
        <w:rPr>
          <w:rFonts w:ascii="Times New Roman" w:eastAsia="Times New Roman" w:hAnsi="Times New Roman" w:cs="Times New Roman"/>
          <w:sz w:val="24"/>
          <w:szCs w:val="24"/>
        </w:rPr>
        <w:t xml:space="preserve"> y establecimientos de producción intensiva de aves y cerdos, complementaria al Código de Zonificación.</w:t>
      </w:r>
    </w:p>
    <w:p w14:paraId="000000CE" w14:textId="77777777" w:rsidR="00A261EF" w:rsidRDefault="00A261EF">
      <w:pPr>
        <w:jc w:val="both"/>
        <w:rPr>
          <w:rFonts w:ascii="Times New Roman" w:eastAsia="Times New Roman" w:hAnsi="Times New Roman" w:cs="Times New Roman"/>
          <w:sz w:val="24"/>
          <w:szCs w:val="24"/>
        </w:rPr>
      </w:pPr>
    </w:p>
    <w:p w14:paraId="000000CF"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Dicha evaluación deberá contemplar:</w:t>
      </w:r>
    </w:p>
    <w:p w14:paraId="000000D0" w14:textId="77777777" w:rsidR="00A261EF" w:rsidRDefault="00A261EF">
      <w:pPr>
        <w:jc w:val="both"/>
        <w:rPr>
          <w:rFonts w:ascii="Times New Roman" w:eastAsia="Times New Roman" w:hAnsi="Times New Roman" w:cs="Times New Roman"/>
          <w:sz w:val="24"/>
          <w:szCs w:val="24"/>
        </w:rPr>
      </w:pPr>
    </w:p>
    <w:p w14:paraId="000000D1"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Distancias mínimas respecto de centros poblados, establecimientos educativos y sanitarios, cursos de agua, rutas, áreas residenciales y sectores ambientalmente sensibles.</w:t>
      </w:r>
    </w:p>
    <w:p w14:paraId="000000D2" w14:textId="77777777" w:rsidR="00A261EF" w:rsidRDefault="00A261EF">
      <w:pPr>
        <w:jc w:val="both"/>
        <w:rPr>
          <w:rFonts w:ascii="Times New Roman" w:eastAsia="Times New Roman" w:hAnsi="Times New Roman" w:cs="Times New Roman"/>
          <w:sz w:val="24"/>
          <w:szCs w:val="24"/>
        </w:rPr>
      </w:pPr>
    </w:p>
    <w:p w14:paraId="000000D3"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Capacidad de carga territorial y compatibilidad de usos.</w:t>
      </w:r>
    </w:p>
    <w:p w14:paraId="000000D4" w14:textId="77777777" w:rsidR="00A261EF" w:rsidRDefault="00A261EF">
      <w:pPr>
        <w:jc w:val="both"/>
        <w:rPr>
          <w:rFonts w:ascii="Times New Roman" w:eastAsia="Times New Roman" w:hAnsi="Times New Roman" w:cs="Times New Roman"/>
          <w:sz w:val="24"/>
          <w:szCs w:val="24"/>
        </w:rPr>
      </w:pPr>
    </w:p>
    <w:p w14:paraId="000000D5"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Sistemas de tratamiento y disposición de efluentes.</w:t>
      </w:r>
    </w:p>
    <w:p w14:paraId="000000D6" w14:textId="77777777" w:rsidR="00A261EF" w:rsidRDefault="00A261EF">
      <w:pPr>
        <w:jc w:val="both"/>
        <w:rPr>
          <w:rFonts w:ascii="Times New Roman" w:eastAsia="Times New Roman" w:hAnsi="Times New Roman" w:cs="Times New Roman"/>
          <w:sz w:val="24"/>
          <w:szCs w:val="24"/>
        </w:rPr>
      </w:pPr>
    </w:p>
    <w:p w14:paraId="000000D7"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Control de olores, vectores y emisiones.</w:t>
      </w:r>
    </w:p>
    <w:p w14:paraId="000000D8" w14:textId="77777777" w:rsidR="00A261EF" w:rsidRDefault="00A261EF">
      <w:pPr>
        <w:jc w:val="both"/>
        <w:rPr>
          <w:rFonts w:ascii="Times New Roman" w:eastAsia="Times New Roman" w:hAnsi="Times New Roman" w:cs="Times New Roman"/>
          <w:sz w:val="24"/>
          <w:szCs w:val="24"/>
        </w:rPr>
      </w:pPr>
    </w:p>
    <w:p w14:paraId="000000D9"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Condiciones de bioseguridad y resguardo sanitario.</w:t>
      </w:r>
    </w:p>
    <w:p w14:paraId="000000DA" w14:textId="77777777" w:rsidR="00A261EF" w:rsidRDefault="00A261EF">
      <w:pPr>
        <w:jc w:val="both"/>
        <w:rPr>
          <w:rFonts w:ascii="Times New Roman" w:eastAsia="Times New Roman" w:hAnsi="Times New Roman" w:cs="Times New Roman"/>
          <w:sz w:val="24"/>
          <w:szCs w:val="24"/>
        </w:rPr>
      </w:pPr>
    </w:p>
    <w:p w14:paraId="000000DB"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 Procedimientos de evaluación de impacto ambiental, habilitación y fiscalización.</w:t>
      </w:r>
    </w:p>
    <w:p w14:paraId="000000DC" w14:textId="77777777" w:rsidR="00A261EF" w:rsidRDefault="00A261EF">
      <w:pPr>
        <w:jc w:val="both"/>
        <w:rPr>
          <w:rFonts w:ascii="Times New Roman" w:eastAsia="Times New Roman" w:hAnsi="Times New Roman" w:cs="Times New Roman"/>
          <w:sz w:val="24"/>
          <w:szCs w:val="24"/>
        </w:rPr>
      </w:pPr>
    </w:p>
    <w:p w14:paraId="000000DD"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Responsabilidades de los establecimientos y régimen de infracciones y sanciones.</w:t>
      </w:r>
    </w:p>
    <w:p w14:paraId="000000DE" w14:textId="77777777" w:rsidR="00A261EF" w:rsidRDefault="00A261EF">
      <w:pPr>
        <w:jc w:val="both"/>
        <w:rPr>
          <w:rFonts w:ascii="Times New Roman" w:eastAsia="Times New Roman" w:hAnsi="Times New Roman" w:cs="Times New Roman"/>
          <w:sz w:val="24"/>
          <w:szCs w:val="24"/>
        </w:rPr>
      </w:pPr>
    </w:p>
    <w:p w14:paraId="000000DF"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ARTÍCULO 6.º: Solicítese al Departamento Ejecutivo Municipal que informe las medidas previstas para la protección ambiental e hídrica de la Laguna de Lobos y su entorno, incluyendo:</w:t>
      </w:r>
    </w:p>
    <w:p w14:paraId="000000E0" w14:textId="77777777" w:rsidR="00A261EF" w:rsidRDefault="00A261EF">
      <w:pPr>
        <w:jc w:val="both"/>
        <w:rPr>
          <w:rFonts w:ascii="Times New Roman" w:eastAsia="Times New Roman" w:hAnsi="Times New Roman" w:cs="Times New Roman"/>
          <w:sz w:val="24"/>
          <w:szCs w:val="24"/>
        </w:rPr>
      </w:pPr>
    </w:p>
    <w:p w14:paraId="000000E1"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Estudios disponibles sobre la presencia de cianobacterias y evolución de la calidad del agua.</w:t>
      </w:r>
    </w:p>
    <w:p w14:paraId="000000E2" w14:textId="77777777" w:rsidR="00A261EF" w:rsidRDefault="00A261EF">
      <w:pPr>
        <w:jc w:val="both"/>
        <w:rPr>
          <w:rFonts w:ascii="Times New Roman" w:eastAsia="Times New Roman" w:hAnsi="Times New Roman" w:cs="Times New Roman"/>
          <w:sz w:val="24"/>
          <w:szCs w:val="24"/>
        </w:rPr>
      </w:pPr>
    </w:p>
    <w:p w14:paraId="000000E3"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Monitoreo de nitrógeno, fósforo y demás parámetros relevantes.</w:t>
      </w:r>
    </w:p>
    <w:p w14:paraId="000000E4" w14:textId="77777777" w:rsidR="00A261EF" w:rsidRDefault="00A261EF">
      <w:pPr>
        <w:jc w:val="both"/>
        <w:rPr>
          <w:rFonts w:ascii="Times New Roman" w:eastAsia="Times New Roman" w:hAnsi="Times New Roman" w:cs="Times New Roman"/>
          <w:sz w:val="24"/>
          <w:szCs w:val="24"/>
        </w:rPr>
      </w:pPr>
    </w:p>
    <w:p w14:paraId="000000E5"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Evaluación de los aportes provenientes de efluentes cloacales, fertilizantes y escorrentías superficiales.</w:t>
      </w:r>
    </w:p>
    <w:p w14:paraId="000000E6" w14:textId="77777777" w:rsidR="00A261EF" w:rsidRDefault="00A261EF">
      <w:pPr>
        <w:jc w:val="both"/>
        <w:rPr>
          <w:rFonts w:ascii="Times New Roman" w:eastAsia="Times New Roman" w:hAnsi="Times New Roman" w:cs="Times New Roman"/>
          <w:sz w:val="24"/>
          <w:szCs w:val="24"/>
        </w:rPr>
      </w:pPr>
    </w:p>
    <w:p w14:paraId="000000E7"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Estado y capacidad de los sistemas de tratamiento de efluentes de los asentamientos y establecimientos adyacentes.</w:t>
      </w:r>
    </w:p>
    <w:p w14:paraId="000000E8" w14:textId="77777777" w:rsidR="00A261EF" w:rsidRDefault="00A261EF">
      <w:pPr>
        <w:jc w:val="both"/>
        <w:rPr>
          <w:rFonts w:ascii="Times New Roman" w:eastAsia="Times New Roman" w:hAnsi="Times New Roman" w:cs="Times New Roman"/>
          <w:sz w:val="24"/>
          <w:szCs w:val="24"/>
        </w:rPr>
      </w:pPr>
    </w:p>
    <w:p w14:paraId="000000E9"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 Estudios de capacidad de carga ambiental y sanitaria.</w:t>
      </w:r>
    </w:p>
    <w:p w14:paraId="000000EA" w14:textId="77777777" w:rsidR="00A261EF" w:rsidRDefault="00A261EF">
      <w:pPr>
        <w:jc w:val="both"/>
        <w:rPr>
          <w:rFonts w:ascii="Times New Roman" w:eastAsia="Times New Roman" w:hAnsi="Times New Roman" w:cs="Times New Roman"/>
          <w:sz w:val="24"/>
          <w:szCs w:val="24"/>
        </w:rPr>
      </w:pPr>
    </w:p>
    <w:p w14:paraId="000000EB"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 Criterios previstos para evitar que la ampliación de densidades o actividades generadoras de líquidos residuales se produzca sin contar con condiciones adecuadas de saneamiento y tratamiento. Asimismo, solicítese que se evalúe la incorporación de condicionamientos urbanísticos preventivos para nuevas densidades y usos intensivos hasta tanto se cuente con estudios técnicos suficientes que acrediten la capacidad del sistema hídrico y sanitario.</w:t>
      </w:r>
    </w:p>
    <w:p w14:paraId="000000EC" w14:textId="77777777" w:rsidR="00A261EF" w:rsidRDefault="00A261EF">
      <w:pPr>
        <w:jc w:val="both"/>
        <w:rPr>
          <w:rFonts w:ascii="Times New Roman" w:eastAsia="Times New Roman" w:hAnsi="Times New Roman" w:cs="Times New Roman"/>
          <w:sz w:val="24"/>
          <w:szCs w:val="24"/>
        </w:rPr>
      </w:pPr>
    </w:p>
    <w:p w14:paraId="000000ED"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ARTÍCULO 7.º: Solicítese al Departamento Ejecutivo Municipal que informe si el proyecto contempla un procedimiento específico de evaluación de impacto socioambiental para nuevas urbanizaciones, emprendimientos productivos y actividades de potencial incidencia sobre áreas sensibles. En caso afirmativo, remítanse los criterios de evaluación, parámetros, indicadores, organismos intervinientes, mecanismos de fiscalización, periodicidad de monitoreo y régimen de responsabilidades y sanciones. Asimismo, solicítese que se evalúe la incorporación de mecanismos de seguimiento y publicación periódica de los resultados de los controles ambientales.</w:t>
      </w:r>
    </w:p>
    <w:p w14:paraId="000000EE" w14:textId="77777777" w:rsidR="00A261EF" w:rsidRDefault="00A261EF">
      <w:pPr>
        <w:jc w:val="both"/>
        <w:rPr>
          <w:rFonts w:ascii="Times New Roman" w:eastAsia="Times New Roman" w:hAnsi="Times New Roman" w:cs="Times New Roman"/>
          <w:sz w:val="24"/>
          <w:szCs w:val="24"/>
        </w:rPr>
      </w:pPr>
    </w:p>
    <w:p w14:paraId="000000EF"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ARTÍCULO 8.º: Solicítese al Departamento Ejecutivo Municipal que informe si se ha previsto la conformación de una Mesa de Trabajo para el tratamiento del Proyecto de Ordenanza de Zonificación, integrada por representantes del Departamento Ejecutivo, Honorable Concejo Deliberante, instituciones científicas y educativas, sectores productivos, organizaciones comunitarias, profesionales y demás actores vinculados al ordenamiento territorial. Asimismo, solicítese que se remitan las actuaciones existentes que acrediten las instancias de consulta y participación desarrolladas, así como el tratamiento otorgado a las propuestas y observaciones presentadas por la comunidad. En el caso de no haber realizado las mesas de trabajo correspondientes con anterioridad al envío del Proyecto de Ordenanza, informe si las mismas se están llevando a cabo; y en tal caso, </w:t>
      </w:r>
      <w:proofErr w:type="spellStart"/>
      <w:r>
        <w:rPr>
          <w:rFonts w:ascii="Times New Roman" w:eastAsia="Times New Roman" w:hAnsi="Times New Roman" w:cs="Times New Roman"/>
          <w:sz w:val="24"/>
          <w:szCs w:val="24"/>
        </w:rPr>
        <w:t>solicítase</w:t>
      </w:r>
      <w:proofErr w:type="spellEnd"/>
      <w:r>
        <w:rPr>
          <w:rFonts w:ascii="Times New Roman" w:eastAsia="Times New Roman" w:hAnsi="Times New Roman" w:cs="Times New Roman"/>
          <w:sz w:val="24"/>
          <w:szCs w:val="24"/>
        </w:rPr>
        <w:t xml:space="preserve"> ser elevadas a este HCD;</w:t>
      </w:r>
    </w:p>
    <w:p w14:paraId="000000F0" w14:textId="77777777" w:rsidR="00A261EF" w:rsidRDefault="00A261EF">
      <w:pPr>
        <w:jc w:val="both"/>
        <w:rPr>
          <w:rFonts w:ascii="Times New Roman" w:eastAsia="Times New Roman" w:hAnsi="Times New Roman" w:cs="Times New Roman"/>
          <w:sz w:val="24"/>
          <w:szCs w:val="24"/>
        </w:rPr>
      </w:pPr>
    </w:p>
    <w:p w14:paraId="000000F1"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ARTÍCULO 9.º: Solicítese que la respuesta y documentación remitida sean incorporadas al Expediente Municipal N.º 4067-29834/2026, dejando constancia de su vinculación con las actuaciones legislativas correspondientes y que la información solicitada deberá remitirse dentro de los plazos establecidos por la Ordenanza N.º 2897/2018, de Acceso a la Información Pública, y normativa aplicable.</w:t>
      </w:r>
    </w:p>
    <w:p w14:paraId="000000F2" w14:textId="77777777" w:rsidR="00A261EF" w:rsidRDefault="00A261EF">
      <w:pPr>
        <w:jc w:val="both"/>
        <w:rPr>
          <w:rFonts w:ascii="Times New Roman" w:eastAsia="Times New Roman" w:hAnsi="Times New Roman" w:cs="Times New Roman"/>
          <w:sz w:val="24"/>
          <w:szCs w:val="24"/>
        </w:rPr>
      </w:pPr>
    </w:p>
    <w:p w14:paraId="000000F3" w14:textId="77777777" w:rsidR="00A261E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ARTÍCULO 11.º: De forma.</w:t>
      </w:r>
    </w:p>
    <w:p w14:paraId="000000F4" w14:textId="77777777" w:rsidR="00A261EF" w:rsidRDefault="00A261EF"/>
    <w:p w14:paraId="000000F5" w14:textId="77777777" w:rsidR="00A261EF" w:rsidRDefault="00A261EF"/>
    <w:sectPr w:rsidR="00A261EF">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B6B416F4-E36A-400B-A502-2698F112FF0A}"/>
  </w:font>
  <w:font w:name="Cambria">
    <w:panose1 w:val="02040503050406030204"/>
    <w:charset w:val="00"/>
    <w:family w:val="roman"/>
    <w:pitch w:val="variable"/>
    <w:sig w:usb0="E00006FF" w:usb1="420024FF" w:usb2="02000000" w:usb3="00000000" w:csb0="0000019F" w:csb1="00000000"/>
    <w:embedRegular r:id="rId2" w:fontKey="{D6EB7E51-4CE7-4D4E-B4E0-43A9BFEB36D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F1A56"/>
    <w:multiLevelType w:val="multilevel"/>
    <w:tmpl w:val="1A60589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3151360B"/>
    <w:multiLevelType w:val="multilevel"/>
    <w:tmpl w:val="172C378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5E1F1F40"/>
    <w:multiLevelType w:val="multilevel"/>
    <w:tmpl w:val="4192FAF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649C0285"/>
    <w:multiLevelType w:val="multilevel"/>
    <w:tmpl w:val="BE70493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666E4FDC"/>
    <w:multiLevelType w:val="multilevel"/>
    <w:tmpl w:val="E9F88FA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2101902965">
    <w:abstractNumId w:val="3"/>
  </w:num>
  <w:num w:numId="2" w16cid:durableId="831337186">
    <w:abstractNumId w:val="1"/>
  </w:num>
  <w:num w:numId="3" w16cid:durableId="375665974">
    <w:abstractNumId w:val="2"/>
  </w:num>
  <w:num w:numId="4" w16cid:durableId="553926160">
    <w:abstractNumId w:val="0"/>
  </w:num>
  <w:num w:numId="5" w16cid:durableId="17411021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1EF"/>
    <w:rsid w:val="001E466C"/>
    <w:rsid w:val="00A261EF"/>
    <w:rsid w:val="00B37C6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1739E"/>
  <w15:docId w15:val="{A044BEA5-1862-47B8-96F7-BB585F2E0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419" w:eastAsia="es-A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3150</Words>
  <Characters>17326</Characters>
  <Application>Microsoft Office Word</Application>
  <DocSecurity>0</DocSecurity>
  <Lines>144</Lines>
  <Paragraphs>40</Paragraphs>
  <ScaleCrop>false</ScaleCrop>
  <Company/>
  <LinksUpToDate>false</LinksUpToDate>
  <CharactersWithSpaces>20436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SECRETARIA_HCD</cp:lastModifiedBy>
  <cp:revision>2</cp:revision>
  <cp:lastPrinted>2026-10-05T23:42:00Z</cp:lastPrinted>
  <dcterms:created xsi:type="dcterms:W3CDTF">2026-10-05T23:38:00Z</dcterms:created>
  <dcterms:modified xsi:type="dcterms:W3CDTF">2026-10-05T23:43:00Z</dcterms:modified>
</cp:coreProperties>
</file>